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b="0" l="0" r="0" t="0"/>
            <wp:wrapNone/>
            <wp:docPr id="159700701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b="0" l="0" r="0" t="0"/>
            <wp:wrapNone/>
            <wp:docPr id="159700701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952500</wp:posOffset>
                </wp:positionH>
                <wp:positionV relativeFrom="paragraph">
                  <wp:posOffset>302719</wp:posOffset>
                </wp:positionV>
                <wp:extent cx="4177665" cy="644094"/>
                <wp:effectExtent b="0" l="0" r="0" t="0"/>
                <wp:wrapSquare wrapText="bothSides" distB="45720" distT="45720" distL="114300" distR="114300"/>
                <wp:docPr id="15970070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952500</wp:posOffset>
                </wp:positionH>
                <wp:positionV relativeFrom="paragraph">
                  <wp:posOffset>302719</wp:posOffset>
                </wp:positionV>
                <wp:extent cx="4177665" cy="644094"/>
                <wp:effectExtent b="0" l="0" r="0" t="0"/>
                <wp:wrapSquare wrapText="bothSides" distB="45720" distT="45720" distL="114300" distR="114300"/>
                <wp:docPr id="15970070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7665" cy="6440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71120</wp:posOffset>
                </wp:positionV>
                <wp:extent cx="4733925" cy="1466175"/>
                <wp:effectExtent b="0" l="0" r="0" t="0"/>
                <wp:wrapSquare wrapText="bothSides" distB="45720" distT="45720" distL="114300" distR="114300"/>
                <wp:docPr id="15970070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d1d1b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520700</wp:posOffset>
                </wp:positionH>
                <wp:positionV relativeFrom="paragraph">
                  <wp:posOffset>71120</wp:posOffset>
                </wp:positionV>
                <wp:extent cx="4733925" cy="1466175"/>
                <wp:effectExtent b="0" l="0" r="0" t="0"/>
                <wp:wrapSquare wrapText="bothSides" distB="45720" distT="45720" distL="114300" distR="114300"/>
                <wp:docPr id="159700701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925" cy="1466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1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1. Panoramica del progetto TINKER e introduzione preliminare all’apprendimento autentico e alle pratiche inclusive di genere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1.2: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Introduzione all’approccio dell’apprendimento autentico e all’inclusione di genere nell’educazione informatica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Personale docente/formatore della scuola primaria e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Definire e illustrare i concetti principali dell’apprendimento autentico necessari alla creazione di un ambiente di apprendimento autentico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Fornire esempi di pratiche dell’apprendimento autentico all’interno di scenari di classe reali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Comprendere in che modo i concetti dell’apprendimento autentico sono in grado di accrescere l’inclusività di genere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Individuare i pregiudizi di genere nell’educazione informatica e discuterne l’impatto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Sviluppare un’attività di apprendimento autentico che enfatizzi l'inclusione di genere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Riflettere sulle proprie pratiche di apprendimento ed esplorare i modi per mettere in pratica i principi dell’apprendimento autentico e ridurre i pregiudizi di genere nell’educazione informatica</w:t>
            </w:r>
          </w:p>
        </w:tc>
      </w:tr>
    </w:tbl>
    <w:p w:rsidR="00000000" w:rsidDel="00000000" w:rsidP="00000000" w:rsidRDefault="00000000" w:rsidRPr="00000000" w14:paraId="0000002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Presentazione PowerPoint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Risorse TINKER: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Quadro di riferimento e Toolkit disponibili al link: </w:t>
            </w:r>
            <w:hyperlink r:id="rId11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https://tinker-project.eu/it/resources/framework-and-toolkit/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Qui di seguito elenchiamo  una serie di risorse aggiuntive che trattano l’apprendimento autentico e l’inclusione di genere: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sulle pratiche di apprendimento autentico disponibili al link: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https://www.youtube.com/@JanH119/videos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Herrington, J., &amp; Oliver, R. (2000). An instructional design framework for authentic learning environments. </w:t>
            </w:r>
            <w:r w:rsidDel="00000000" w:rsidR="00000000" w:rsidRPr="00000000">
              <w:rPr>
                <w:i w:val="1"/>
                <w:rtl w:val="0"/>
              </w:rPr>
              <w:t xml:space="preserve">Educational Technology Research and Development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  <w:t xml:space="preserve">(3), 23-48.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https://link.springer.com/article/10.1007/BF02319856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Approfondimenti per una pedagogia sensibili alle questioni di genere: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ind w:left="1440" w:hanging="360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https://www.brookings.edu/wp-content/uploads/2018/11/Hawah-Nabbuye-FOR-WEBSITE.pdf</w:t>
              </w:r>
            </w:hyperlink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50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spacing w:after="160" w:line="259" w:lineRule="auto"/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CONTENUTO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Questa unità esplora le seguenti tematiche: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l’esigenza di un approccio autentico e inclusivo di genere che punti a individuare i pregiudizi di genere, nonché i loro effetti, nell’istruzione e nell’informatica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7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esempi di pratiche dell’apprendimento autentico e inclusive di genere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</w:tc>
        <w:tc>
          <w:tcPr/>
          <w:p w:rsidR="00000000" w:rsidDel="00000000" w:rsidP="00000000" w:rsidRDefault="00000000" w:rsidRPr="00000000" w14:paraId="00000058">
            <w:pPr>
              <w:pStyle w:val="Heading2"/>
              <w:spacing w:after="80" w:before="360" w:lineRule="auto"/>
              <w:rPr>
                <w:color w:val="1d1d1b"/>
                <w:sz w:val="26"/>
                <w:szCs w:val="26"/>
                <w:u w:val="single"/>
              </w:rPr>
            </w:pPr>
            <w:bookmarkStart w:colFirst="0" w:colLast="0" w:name="_heading=h.abf44n44mwvy" w:id="0"/>
            <w:bookmarkEnd w:id="0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1. Attività di benvenuto e rompighiaccio (10 minuti)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Diapositiva 7</w:t>
            </w:r>
          </w:p>
          <w:p w:rsidR="00000000" w:rsidDel="00000000" w:rsidP="00000000" w:rsidRDefault="00000000" w:rsidRPr="00000000" w14:paraId="0000005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rompighiaccio permette alle e ai docenti di ripassare i concetti relativi all’apprendimento autentico appresi nell’Unità 1.1.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Da’ un caldo benvenuto alle e ai discenti.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Comincia l’attività con la seguente consegna: “pensate a quanto appreso finora riguardo all’apprendimento autentico e riflettete sui metodi principali per metterlo in pratica nella vostra classe”.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alle e ai partecipanti di condividere i propri punti di vista registrandoli su uno strumento collaborativo come Padlet.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Enfatizza brevemente gli insegnamenti chiave (“in base a Padlet, possiamo vedere che le tematiche principali di cui abbiamo parlato sono …”).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Illustra i concetti principali dell’unità e gli obiettivi attesi.</w:t>
            </w:r>
          </w:p>
          <w:p w:rsidR="00000000" w:rsidDel="00000000" w:rsidP="00000000" w:rsidRDefault="00000000" w:rsidRPr="00000000" w14:paraId="00000061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360" w:lineRule="auto"/>
              <w:rPr/>
            </w:pPr>
            <w:bookmarkStart w:colFirst="0" w:colLast="0" w:name="_heading=h.qtcouarghp5p" w:id="1"/>
            <w:bookmarkEnd w:id="1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2. Comprendere i principi dell’apprendimento autentico e il modo in cui possono contribuire all’inclusione di genere (20 minuti)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Diapositiva 8</w:t>
            </w:r>
          </w:p>
          <w:p w:rsidR="00000000" w:rsidDel="00000000" w:rsidP="00000000" w:rsidRDefault="00000000" w:rsidRPr="00000000" w14:paraId="0000006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permette alle e ai docenti di comprendere meglio i principi dell’apprendimento autentico e il modo in cui applicarli ai contesti di classe, al fine di ridurre i pregiudizi di genere.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2.1. Introduzione ai principi chiave dell’apprendimento autentico (diapositive 8, 9, 10, 11, 12, 13)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Illustra i concetti principali associati all’apprendimento autentico.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Fornisci esempi di come ciascun principio può contribuire a una maggiore inclusività di genere.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Coinvolgi le e i partecipanti durante la presentazione di ciascun principio.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9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tale scopo, poni </w:t>
            </w:r>
            <w:r w:rsidDel="00000000" w:rsidR="00000000" w:rsidRPr="00000000">
              <w:rPr>
                <w:b w:val="1"/>
                <w:rtl w:val="0"/>
              </w:rPr>
              <w:t xml:space="preserve">domande a risposta aperta</w:t>
            </w:r>
            <w:r w:rsidDel="00000000" w:rsidR="00000000" w:rsidRPr="00000000">
              <w:rPr>
                <w:rtl w:val="0"/>
              </w:rPr>
              <w:t xml:space="preserve"> e serviti di </w:t>
            </w:r>
            <w:r w:rsidDel="00000000" w:rsidR="00000000" w:rsidRPr="00000000">
              <w:rPr>
                <w:b w:val="1"/>
                <w:rtl w:val="0"/>
              </w:rPr>
              <w:t xml:space="preserve">strategie per l’autoriflessione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9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Esempio diapositiva 8: “leggete questa definizione di </w:t>
            </w:r>
            <w:r w:rsidDel="00000000" w:rsidR="00000000" w:rsidRPr="00000000">
              <w:rPr>
                <w:i w:val="1"/>
                <w:rtl w:val="0"/>
              </w:rPr>
              <w:t xml:space="preserve">contesto autentico</w:t>
            </w:r>
            <w:r w:rsidDel="00000000" w:rsidR="00000000" w:rsidRPr="00000000">
              <w:rPr>
                <w:rtl w:val="0"/>
              </w:rPr>
              <w:t xml:space="preserve">, cosa vi viene subito in mente che riguardi le vostre esperienze di insegnamento?” oppure “pensate a una volta in cui avete appreso concetti più facilmente perché avevano rilevanza nel mondo reale. Cos’ha reso quell’esperienza autentica, per voi?”.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9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Esempio diapositiva 9: “il testo afferma che le pratiche autentiche permettono di </w:t>
            </w:r>
            <w:r w:rsidDel="00000000" w:rsidR="00000000" w:rsidRPr="00000000">
              <w:rPr>
                <w:i w:val="1"/>
                <w:rtl w:val="0"/>
              </w:rPr>
              <w:t xml:space="preserve">costruire fiducia in sé stesse e stessi</w:t>
            </w:r>
            <w:r w:rsidDel="00000000" w:rsidR="00000000" w:rsidRPr="00000000">
              <w:rPr>
                <w:rtl w:val="0"/>
              </w:rPr>
              <w:t xml:space="preserve">. Per quale gruppo di genere ciò potrebbe risultare particolarmente significativo nella tua materia e perché?” oppure “quando incoraggiamo le e gli studenti a pensare e ad agire come professioniste e professionisti, quali tipi di modelli di riferimento possiamo presentare alla classe (virtualmente o fisicamente) in modo da renderli accessibili a tutti i generi?”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6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Spiega l’esigenza di applicare pratiche di apprendimento autentico all’educazione informatica.</w:t>
            </w:r>
          </w:p>
          <w:p w:rsidR="00000000" w:rsidDel="00000000" w:rsidP="00000000" w:rsidRDefault="00000000" w:rsidRPr="00000000" w14:paraId="0000007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2.1 Attività 1: attività di gruppo (slide 14)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gruppi.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Sulla base degli esempi presentati, ciascun gruppo riceverà una carta scenario e dovrà provare a spiegare le strategie per un’integrazione iniziale delle esperienze di apprendimento autentico nell’educazione informatica, rendendo così l’apprendimento più coinvolgente e significativo. 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facilitare una discussione di gruppo più ampia, le e i partecipanti si divideranno in gruppi nuovi e diversi, in modo da garantire la presenza di una o un portavoce di ogni gruppo originale, allo scopo di condividere e discutere gli esempi di principi dell’apprendimento autentico. Ciascun gruppo condivide un esempio su uno strumento collaborativo (es. Padlet).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il personale docente inizia a comprendere i principi dell’apprendimento autentico e il modo in cui metterli in pratica.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br w:type="textWrapping"/>
              <w:t xml:space="preserve">3. Comprendere i pregiudizi sull’inclusione di genere (20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permette alle e ai docenti di comprendere meglio l’inclusione e i pregiudizi di genere nell’educazione.</w:t>
            </w:r>
          </w:p>
          <w:p w:rsidR="00000000" w:rsidDel="00000000" w:rsidP="00000000" w:rsidRDefault="00000000" w:rsidRPr="00000000" w14:paraId="0000007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3.1. Introduzione ai pregiudizi di genere nell’educazione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i principi dell’inclusione di genere e i pregiudizi legati al genere, spiegando come affrontarli (diapositive </w:t>
            </w:r>
            <w:r w:rsidDel="00000000" w:rsidR="00000000" w:rsidRPr="00000000">
              <w:rPr>
                <w:b w:val="1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Mostra i pregiudizi di genere più comuni nel contesto dell’educazione all’informatica (diapositiva </w:t>
            </w:r>
            <w:r w:rsidDel="00000000" w:rsidR="00000000" w:rsidRPr="00000000">
              <w:rPr>
                <w:b w:val="1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alcune strategie iniziali per contrastare i pregiudizi di genere nell’educazione all’informatica (diapositiva </w:t>
            </w:r>
            <w:r w:rsidDel="00000000" w:rsidR="00000000" w:rsidRPr="00000000">
              <w:rPr>
                <w:b w:val="1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8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3.2. Attività 2: spunti per l’autoriflessione </w:t>
            </w:r>
            <w:r w:rsidDel="00000000" w:rsidR="00000000" w:rsidRPr="00000000">
              <w:rPr>
                <w:rtl w:val="0"/>
              </w:rPr>
              <w:t xml:space="preserve">(diapositiva </w:t>
            </w:r>
            <w:r w:rsidDel="00000000" w:rsidR="00000000" w:rsidRPr="00000000">
              <w:rPr>
                <w:b w:val="1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piccoli gruppi.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Fornisci loro i seguenti spunti per avviare una discussione di gruppo: 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avete mai messo in pratica strategie per l’inclusione di genere nella vostra classe?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voi, quali sono i maggiori ostacoli all’inclusione di genere in classe e come possono essere superati?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ai gruppi di condividere le proprie risposte registrandole su uno strumento collaborativo (es. Padlet).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br w:type="textWrapping"/>
              <w:t xml:space="preserve">4. Riflessione e conclusione (10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Diapositiva 20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Le e i partecipanti devono riflettere sulle proprie pratiche educative e stabilire se queste sono in linea con le pratiche di apprendimento autentico e inclusivo di genere.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Valutazione 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Valuta la comprensione mediante le discussioni di gruppo e di classe durante la lezione. Al termine dell’attività, le e i partecipanti abbozzano un piano su come migliorare le proprie lezioni tramite i principi dell’apprendimento autentico e l’attuazione di pratiche inclusive di genere, per poterlo mettere in pratica a partire dalla lezione successiva. </w:t>
            </w:r>
          </w:p>
        </w:tc>
      </w:tr>
    </w:tbl>
    <w:p w:rsidR="00000000" w:rsidDel="00000000" w:rsidP="00000000" w:rsidRDefault="00000000" w:rsidRPr="00000000" w14:paraId="0000008F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questa lezione, abbiamo approfondito le conoscenze relative all’</w:t>
            </w:r>
            <w:r w:rsidDel="00000000" w:rsidR="00000000" w:rsidRPr="00000000">
              <w:rPr>
                <w:b w:val="1"/>
                <w:rtl w:val="0"/>
              </w:rPr>
              <w:t xml:space="preserve">apprendimento autentico</w:t>
            </w:r>
            <w:r w:rsidDel="00000000" w:rsidR="00000000" w:rsidRPr="00000000">
              <w:rPr>
                <w:rtl w:val="0"/>
              </w:rPr>
              <w:t xml:space="preserve"> e al suo ruolo nella promozione di un’</w:t>
            </w:r>
            <w:r w:rsidDel="00000000" w:rsidR="00000000" w:rsidRPr="00000000">
              <w:rPr>
                <w:b w:val="1"/>
                <w:rtl w:val="0"/>
              </w:rPr>
              <w:t xml:space="preserve">educazione all’informatica inclusiva di genere</w:t>
            </w:r>
            <w:r w:rsidDel="00000000" w:rsidR="00000000" w:rsidRPr="00000000">
              <w:rPr>
                <w:rtl w:val="0"/>
              </w:rPr>
              <w:t xml:space="preserve"> e, attraverso gli </w:t>
            </w:r>
            <w:r w:rsidDel="00000000" w:rsidR="00000000" w:rsidRPr="00000000">
              <w:rPr>
                <w:b w:val="1"/>
                <w:rtl w:val="0"/>
              </w:rPr>
              <w:t xml:space="preserve">esempi</w:t>
            </w:r>
            <w:r w:rsidDel="00000000" w:rsidR="00000000" w:rsidRPr="00000000">
              <w:rPr>
                <w:rtl w:val="0"/>
              </w:rPr>
              <w:t xml:space="preserve"> presentati, ne abbiamo osservato le applicazioni pratiche.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Riflettete su come gli approcci dell’apprendimento </w:t>
            </w:r>
            <w:r w:rsidDel="00000000" w:rsidR="00000000" w:rsidRPr="00000000">
              <w:rPr>
                <w:b w:val="1"/>
                <w:rtl w:val="0"/>
              </w:rPr>
              <w:t xml:space="preserve">autentico</w:t>
            </w:r>
            <w:r w:rsidDel="00000000" w:rsidR="00000000" w:rsidRPr="00000000">
              <w:rPr>
                <w:rtl w:val="0"/>
              </w:rPr>
              <w:t xml:space="preserve"> possono migliorare le vostre pratiche educative, ponendovi domande quali: </w:t>
            </w:r>
            <w:r w:rsidDel="00000000" w:rsidR="00000000" w:rsidRPr="00000000">
              <w:rPr>
                <w:b w:val="1"/>
                <w:rtl w:val="0"/>
              </w:rPr>
              <w:t xml:space="preserve">le attività formative che propongo sono rilevanti e coinvolgenti per tutte e tutti gli studenti? In che modo posso garantire l’inclusività di genere nella mia classe?</w:t>
            </w:r>
            <w:r w:rsidDel="00000000" w:rsidR="00000000" w:rsidRPr="00000000">
              <w:rPr>
                <w:rtl w:val="0"/>
              </w:rPr>
              <w:t xml:space="preserve"> Utilizzate il quadro per l’</w:t>
            </w:r>
            <w:r w:rsidDel="00000000" w:rsidR="00000000" w:rsidRPr="00000000">
              <w:rPr>
                <w:b w:val="1"/>
                <w:rtl w:val="0"/>
              </w:rPr>
              <w:t xml:space="preserve">autoriflessione</w:t>
            </w:r>
            <w:r w:rsidDel="00000000" w:rsidR="00000000" w:rsidRPr="00000000">
              <w:rPr>
                <w:rtl w:val="0"/>
              </w:rPr>
              <w:t xml:space="preserve"> fornito dal quadro TINKER per un’autovalutazione guidata.</w:t>
            </w:r>
          </w:p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Al fine di consolidare il vostro apprendimento, mettete in pratica un approccio autentico nella vostra classe e valutatene l’impatto. Condividete la vostra esperienza e le sfide affrontate nelle discussioni future. Ricordate: l’integrazione delle </w:t>
            </w:r>
            <w:r w:rsidDel="00000000" w:rsidR="00000000" w:rsidRPr="00000000">
              <w:rPr>
                <w:b w:val="1"/>
                <w:rtl w:val="0"/>
              </w:rPr>
              <w:t xml:space="preserve">pratiche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inclusive</w:t>
            </w:r>
            <w:r w:rsidDel="00000000" w:rsidR="00000000" w:rsidRPr="00000000">
              <w:rPr>
                <w:rtl w:val="0"/>
              </w:rPr>
              <w:t xml:space="preserve"> e </w:t>
            </w:r>
            <w:r w:rsidDel="00000000" w:rsidR="00000000" w:rsidRPr="00000000">
              <w:rPr>
                <w:b w:val="1"/>
                <w:rtl w:val="0"/>
              </w:rPr>
              <w:t xml:space="preserve">autentiche</w:t>
            </w:r>
            <w:r w:rsidDel="00000000" w:rsidR="00000000" w:rsidRPr="00000000">
              <w:rPr>
                <w:rtl w:val="0"/>
              </w:rPr>
              <w:t xml:space="preserve"> è un processo continuo.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52745" cy="6635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-643254</wp:posOffset>
          </wp:positionH>
          <wp:positionV relativeFrom="paragraph">
            <wp:posOffset>249554</wp:posOffset>
          </wp:positionV>
          <wp:extent cx="1311275" cy="290195"/>
          <wp:effectExtent b="0" l="0" r="0" t="0"/>
          <wp:wrapNone/>
          <wp:docPr id="1597007019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740C5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inker-project.eu/it/resources/framework-and-toolkit/" TargetMode="External"/><Relationship Id="rId10" Type="http://schemas.openxmlformats.org/officeDocument/2006/relationships/image" Target="media/image2.jpg"/><Relationship Id="rId13" Type="http://schemas.openxmlformats.org/officeDocument/2006/relationships/hyperlink" Target="https://link.springer.com/article/10.1007/BF02319856" TargetMode="External"/><Relationship Id="rId12" Type="http://schemas.openxmlformats.org/officeDocument/2006/relationships/hyperlink" Target="https://www.youtube.com/@JanH119/video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header" Target="header1.xml"/><Relationship Id="rId14" Type="http://schemas.openxmlformats.org/officeDocument/2006/relationships/hyperlink" Target="https://www.brookings.edu/wp-content/uploads/2018/11/Hawah-Nabbuye-FOR-WEBSITE.pdf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x4fOOzrbdeCCjlOl5o3XRN1Dyg==">CgMxLjAyDmguYWJmNDRuNDRtd3Z5Mg5oLnF0Y291YXJnaHA1cDgAciExTklLdHhpTFBQRFVhLVlacXNPcTFoRnQ1bzdmckVKVVU=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2024-11-19T18:03:00Z</dcterms:created>
  <dc:creator>Helen</dc:creator>
</cp:coreProperties>
</file>